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line="21" w:lineRule="atLeast"/>
        <w:ind w:left="0" w:right="0"/>
      </w:pPr>
      <w:r>
        <w:t>国务院办公厅关于加强个人诚信体系建设的指导意见国办发〔2016〕98号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宋体" w:hAnsi="宋体" w:eastAsia="宋体" w:cs="宋体"/>
          <w:caps w:val="0"/>
          <w:color w:val="333333"/>
          <w:spacing w:val="0"/>
          <w:sz w:val="24"/>
          <w:szCs w:val="24"/>
        </w:rPr>
      </w:pPr>
      <w:bookmarkStart w:id="0" w:name="_GoBack"/>
      <w:bookmarkEnd w:id="0"/>
      <w:r>
        <w:rPr>
          <w:rFonts w:hint="eastAsia" w:ascii="宋体" w:hAnsi="宋体" w:eastAsia="宋体" w:cs="宋体"/>
          <w:caps w:val="0"/>
          <w:color w:val="333333"/>
          <w:spacing w:val="0"/>
          <w:sz w:val="24"/>
          <w:szCs w:val="24"/>
          <w:bdr w:val="none" w:color="auto" w:sz="0" w:space="0"/>
          <w:shd w:val="clear" w:fill="FFFFFF"/>
        </w:rPr>
        <w:t>各省、自治区、直辖市人民政府，国务院各部委、各直属机构：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为弘扬诚信传统美德，增强社会成员诚信意识，加强个人诚信体系建设，褒扬诚信，惩戒失信，提高全社会信用水平，营造优良信用环境，经国务院同意，现提出以下意见。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b/>
          <w:caps w:val="0"/>
          <w:color w:val="333333"/>
          <w:spacing w:val="0"/>
          <w:sz w:val="24"/>
          <w:szCs w:val="24"/>
          <w:bdr w:val="none" w:color="auto" w:sz="0" w:space="0"/>
          <w:shd w:val="clear" w:fill="FFFFFF"/>
        </w:rPr>
        <w:t>一、总体要求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一）指导思想。全面贯彻落实党的十八大和十八届三中、四中、五中、六中全会精神，深入贯彻习近平总书记系列重要讲话精神，按照党中央、国务院决策部署，以培育和践行社会主义核心价值观为根本，大力弘扬诚信文化，加快个人诚信记录建设，完善个人信息安全、隐私保护与信用修复机制，健全守信激励与失信惩戒机制，使守信者受益、失信者受限，让诚信成为全社会共同的价值追求和行为准则，积极营造“守信光荣、失信可耻”的良好社会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（二）基本原则。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一是政府推动，社会共建。充分发挥政府在个人诚信体系建设中的组织、引导、推动和示范作用。规范发展征信市场，鼓励调动社会力量广泛参与，共同推进，形成个人诚信体系建设合力。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二是健全法制，规范发展。健全个人信息法律法规、规章制度和标准规范，严格保护个人隐私和信息安全。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三是全面推进，重点突破。以重点领域、重点人群为突破口，推动建立各地区各行业个人诚信记录机制。依托全国信用信息共享平台与各地方信用信息共享平台、金融信用信息基础数据库与个人征信机构，分别实现个人公共信用信息、个人征信信息的记录、归集、处理和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四是强化应用，奖惩联动。积极培育个人公共信用信息产品应用市场，推广个人公共信用信息社会化应用，拓宽应用范围。建立健全个人诚信奖惩联动机制，加大个人守信激励与失信惩戒力度。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b/>
          <w:caps w:val="0"/>
          <w:color w:val="333333"/>
          <w:spacing w:val="0"/>
          <w:sz w:val="24"/>
          <w:szCs w:val="24"/>
          <w:bdr w:val="none" w:color="auto" w:sz="0" w:space="0"/>
          <w:shd w:val="clear" w:fill="FFFFFF"/>
        </w:rPr>
        <w:t>二、加强个人诚信教育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一）大力弘扬诚信文化。将诚信文化建设摆在突出位置，以培育和践行社会主义核心价值观为根本，大力普及信用知识，制定颁布公民诚信守则，将诚信教育贯穿公民道德建设和精神文明创建全过程。加强社会公德、职业道德、家庭美德和个人品德教育，营造“守信者荣、失信者耻、无信者忧”的社会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二）广泛开展诚信宣传。结合春节、国际消费者权益日、劳动节、儿童节、网络诚信宣传日、全国信用记录关爱日、诚信兴商宣传月、国庆节、国家宪法日暨全国法制宣传日等重要时间节点和法定节假日，集中宣传信用政策法规、信用知识和典型案例。推动创作中华传统诚信文化与时代价值观相融合的诚信文艺作品、公益广告，丰富诚信宣传载体，增加诚信宣传频次，提升诚信宣传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三）积极推介诚信典型。充分发挥媒体舆论宣传引导作用，大力发掘、宣传有关部门和社会组织评选的诚信道德模范、优秀志愿者等诚信典型。组织各类网站开设网络诚信专题，经常性地宣传推广各类诚信典型、诚信事迹，推出一批高质量的网络诚信主题文化作品，加强网络失信案例警示教育。支持有关部门和社会组织向社会推介诚信典型和无不良信用记录者，推动实施跨部门、跨领域的守信联合激励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四）全面加强校园诚信教育。将诚信教育作为中小学和高校学生思想品德教育的重要内容。鼓励高校开设社会信用领域相关课程。支持有条件的高校院所开设信用管理相关专业。推动学校加强信用管理，建立健全18岁以上成年学生诚信档案，推动将学生个人诚信作为升学、毕业、评先评优、奖学金发放、鉴定推荐等环节的重要考量因素。针对考试舞弊、学术造假、不履行助学贷款还款承诺、伪造就业材料等不诚信行为开展教育，并依法依规将相关信息记入个人信用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五）广泛开展信用教育培训。建立健全信用管理职业培训与专业考评制度。加大对信用从业人员的培训力度，丰富信用知识，提高信用管理水平。鼓励各类社会组织和企业建立信用管理和教育制度，组织签署入职信用承诺书和开展信用知识培训活动，培育企业信用文化。组织编写信用知识读本，依托社区（村）各类基层组织，向公众普及信用知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b/>
          <w:caps w:val="0"/>
          <w:color w:val="333333"/>
          <w:spacing w:val="0"/>
          <w:sz w:val="24"/>
          <w:szCs w:val="24"/>
          <w:bdr w:val="none" w:color="auto" w:sz="0" w:space="0"/>
          <w:shd w:val="clear" w:fill="FFFFFF"/>
        </w:rPr>
        <w:t>三、加快推进个人诚信记录建设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一）推动完善个人实名登记制度。以公民身份号码制度为基础，推进公民统一社会信用代码制度建设。推动居民身份证登记指纹信息工作，实现公民统一社会信用代码全覆盖。运用信息化技术手段，不断加强个人身份信息的查核工作，确保个人身份识别信息的唯一性。以互联网、邮寄递送、电信、金融账户等领域为重点，推进建立实名登记制度，为准确采集个人诚信记录奠定基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二）建立重点领域个人诚信记录。以食品药品、安全生产、消防安全、交通安全、环境保护、生物安全、产品质量、税收缴纳、医疗卫生、劳动保障、工程建设、金融服务、知识产权、司法诉讼、电子商务、志愿服务等领域为重点，以公务员、企业法定代表人及相关责任人、律师、教师、医师、执业药师、评估师、税务师、注册消防工程师、会计审计人员、房地产中介从业人员、认证人员、金融从业人员、导游等职业人群为主要对象，有关部门要加快建立和完善个人信用记录形成机制，及时归集有关人员在相关活动中形成的诚信信息，确保信息真实准确，实现及时动态更新。金融信用信息基础数据库和个人征信机构要大力开展重点领域个人征信信息的归集与服务。鼓励行业协会、商会等行业组织建立健全会员信用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b/>
          <w:caps w:val="0"/>
          <w:color w:val="333333"/>
          <w:spacing w:val="0"/>
          <w:sz w:val="24"/>
          <w:szCs w:val="24"/>
          <w:bdr w:val="none" w:color="auto" w:sz="0" w:space="0"/>
          <w:shd w:val="clear" w:fill="FFFFFF"/>
        </w:rPr>
        <w:t>四、完善个人信息安全、隐私保护与信用修复机制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一）保护个人信息安全。有关部门要严格按照规定建立健全并严格执行保障信息安全的规章制度，明确个人信息查询使用权限和程序，做好数据库安全防护工作，建立完善个人信息查询使用登记和审查制度，防止信息泄露。严格按照相关法律法规，加大对金融信用信息基础数据库、征信机构的监管力度，确保个人征信业务合规开展，保障信息主体合法权益，确保国家信息安全。建立征信机构及相关人员信用档案和违规经营“黑名单”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二）加强隐私保护。未经法律法规授权不得采集个人公共信用信息。加大对泄露、篡改、毁损、出售或者非法向他人提供个人信息等行为的查处力度。对金融机构、征信机构、互联网企业、大数据公司、移动应用程序开发企业实施重点监控，规范其个人信息采集、提供和使用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三）建立信用修复机制。建立个人公共信用信息纠错、修复机制，制定异议处理、行政复议等管理制度及操作细则。明确各类公共信用信息展示期限，不再展示使用超过期限的公共信用信息。畅通信用修复渠道，丰富信用修复方式，探索通过事后主动履约、申请延期、自主解释等方式减少失信损失，通过按时履约、志愿服务、慈善捐助等方式修复信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b/>
          <w:caps w:val="0"/>
          <w:color w:val="333333"/>
          <w:spacing w:val="0"/>
          <w:sz w:val="24"/>
          <w:szCs w:val="24"/>
          <w:bdr w:val="none" w:color="auto" w:sz="0" w:space="0"/>
          <w:shd w:val="clear" w:fill="FFFFFF"/>
        </w:rPr>
        <w:t>五、规范推进个人诚信信息共享使用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一）推动个人公共信用信息共享。制定全国统一的个人公共信用信息目录、分类标准和共享交换规范。依托各地方信用信息共享平台建立个人公共信用信息数据库。依托全国信用信息共享平台，逐步建立跨区域、跨部门、跨行业个人公共信用信息的互联、互通、互查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二）积极开展个人公共信用信息服务。各级人民政府要依法依规及时向社会提供个人公共信用信息授权查询服务。探索依据个人公共信用信息构建分类管理和诚信积分管理机制。有条件的地区和行业应建立个人公共信用信息与金融信用信息基础数据库的共享关系，并向个人征信机构提供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b/>
          <w:caps w:val="0"/>
          <w:color w:val="333333"/>
          <w:spacing w:val="0"/>
          <w:sz w:val="24"/>
          <w:szCs w:val="24"/>
          <w:bdr w:val="none" w:color="auto" w:sz="0" w:space="0"/>
          <w:shd w:val="clear" w:fill="FFFFFF"/>
        </w:rPr>
        <w:t>六、完善个人守信激励和失信惩戒机制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一）为优良信用个人提供更多服务便利。对有关部门和社会组织实施信用分类监管确定的信用状况良好的行政相对人、诚信道德模范、优秀志愿者，行业协会商会推荐的诚信会员，以及新闻媒体挖掘的诚信主体等建立优良信用记录，各级人民政府要创新守信激励措施，对具有优良信用记录的个人，在教育、就业、创业等领域给予重点支持，尽力提供更多便利服务；在办理行政许可过程中，对具有优良信用记录的个人和连续三年以上无不良信用记录的行政相对人，可根据实际情况依法采取“绿色通道”和“容缺受理”等便利服务措施。鼓励社会机构依法使用征信产品，对具有优良信用记录的个人给予优惠和便利，使守信者在市场中获得更多机会和收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二）对重点领域严重失信个人实施联合惩戒。依法依规对严重危害人民群众身体健康和生命安全、严重破坏市场公平竞争秩序和社会正常秩序、拒不履行法定义务严重影响司法机关和行政机关公信力以及拒不履行国防义务等个人严重失信行为采取联合惩戒措施。将恶意逃废债务、非法集资、电信诈骗、网络欺诈、交通违法、不依法诚信纳税等严重失信个人列为重点监管对象，依法依规采取行政性约束和惩戒措施。在对失信企事业单位进行联合惩戒的同时，依照法律法规和政策规定对相关责任人员采取相应的联合惩戒措施，将联合惩戒措施落实到人。鼓励将金融信用信息基础数据库和个人征信机构采集的个人在市场经济活动中产生的严重失信记录，推送至全国信用信息共享平台，作为实施信用惩戒措施的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三）推动形成市场性、社会性约束和惩戒。建立健全个人严重失信行为披露、曝光与举报制度，依托“信用中国”网站，依法向社会公开披露各级人民政府掌握的个人严重失信信息，充分发挥社会舆论监督作用，形成强大的社会震慑力。鼓励市场主体对严重失信个人采取差别化服务。支持征信机构采集严重失信行为信息，纳入信用记录和信用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b/>
          <w:caps w:val="0"/>
          <w:color w:val="333333"/>
          <w:spacing w:val="0"/>
          <w:sz w:val="24"/>
          <w:szCs w:val="24"/>
          <w:bdr w:val="none" w:color="auto" w:sz="0" w:space="0"/>
          <w:shd w:val="clear" w:fill="FFFFFF"/>
        </w:rPr>
        <w:t>七、强化保障措施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（一）加强组织领导。各地区各部门要统筹规划，部署实施个人诚信体系建设工作。建立工作考核推进机制，对本地区、本领域个人诚信体系建设工作要定期进行督促、指导和检查。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二）建立健全法律法规。逐步建立和完善个人诚信体系建设法律法规，加强对个人信息安全和个人隐私的保护，有力维护个人信息的主体权利与合法权益，完善个人公共信用信息记录、归集、处理和应用等各环节的规范制度，为个人诚信体系建设创造良好的法制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三）加大资金支持力度。各地区各部门要加强社会信用体系建设经费保障，对个人诚信体系建设组织工作、管理工作积极予以经费支持。加大对个人公共信用信息数据库建设、信息应用、宣传教育和人才培训等各方面的资金支持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（四）强化责任落实。各地区各部门要高度重视个人诚信体系建设工作，强化责任意识，细化分工，明确完成时间节点，确保责任到人、工作到人、落实到人。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各地区各部门要加强领导，高度重视，率先垂范，结合工作实际，切实有效开展个人诚信体系建设相关工作。国家发展改革委会同有关部门负责对本意见落实工作的统筹协调、跟踪了解、督促检查，确保各项工作平稳有序推进。</w:t>
      </w:r>
      <w:r>
        <w:rPr>
          <w:rFonts w:hint="eastAsia" w:ascii="宋体" w:hAnsi="宋体" w:eastAsia="宋体" w:cs="宋体"/>
          <w:caps w:val="0"/>
          <w:color w:val="333333"/>
          <w:spacing w:val="0"/>
          <w:sz w:val="18"/>
          <w:szCs w:val="18"/>
          <w:bdr w:val="none" w:color="auto" w:sz="0" w:space="0"/>
          <w:shd w:val="clear" w:fill="FFFFFF"/>
        </w:rPr>
        <w:br w:type="textWrapping"/>
      </w:r>
      <w:r>
        <w:rPr>
          <w:rFonts w:hint="eastAsia" w:ascii="宋体" w:hAnsi="宋体" w:eastAsia="宋体" w:cs="宋体"/>
          <w:caps w:val="0"/>
          <w:color w:val="333333"/>
          <w:spacing w:val="0"/>
          <w:sz w:val="24"/>
          <w:szCs w:val="24"/>
          <w:bdr w:val="none" w:color="auto" w:sz="0" w:space="0"/>
          <w:shd w:val="clear" w:fill="FFFFFF"/>
        </w:rPr>
        <w:t>　　　　　　　　　　　　　　　　　　　　　　　　　　　　国务院办公厅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　　　　　　　　　　　　　　　　　　　　　　　　　　2016年12月23日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420"/>
        <w:jc w:val="both"/>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（此件公开发布）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Glyphicons Halflings">
    <w:altName w:val="Segoe Print"/>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onsolas">
    <w:panose1 w:val="020B0609020204030204"/>
    <w:charset w:val="00"/>
    <w:family w:val="auto"/>
    <w:pitch w:val="default"/>
    <w:sig w:usb0="E10002FF" w:usb1="4000FCFF" w:usb2="00000009" w:usb3="00000000" w:csb0="6000019F" w:csb1="DFD7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621CB7"/>
    <w:rsid w:val="4DFD2190"/>
    <w:rsid w:val="55621CB7"/>
    <w:rsid w:val="63273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TML Preformatted"/>
    <w:basedOn w:val="1"/>
    <w:uiPriority w:val="0"/>
    <w:pPr>
      <w:pBdr>
        <w:top w:val="single" w:color="CCCCCC" w:sz="6" w:space="7"/>
        <w:left w:val="single" w:color="CCCCCC" w:sz="6" w:space="7"/>
        <w:bottom w:val="single" w:color="CCCCCC" w:sz="6" w:space="7"/>
        <w:right w:val="single" w:color="CCCCCC" w:sz="6" w:space="7"/>
      </w:pBdr>
      <w:shd w:val="clear"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0" w:beforeAutospacing="0" w:after="150" w:afterAutospacing="0" w:line="21" w:lineRule="atLeast"/>
      <w:ind w:left="0" w:right="0"/>
      <w:jc w:val="left"/>
    </w:pPr>
    <w:rPr>
      <w:rFonts w:ascii="Verdana" w:hAnsi="Verdana" w:eastAsia="Consolas" w:cs="Verdana"/>
      <w:color w:val="333333"/>
      <w:kern w:val="0"/>
      <w:sz w:val="18"/>
      <w:szCs w:val="18"/>
      <w:lang w:val="en-US" w:eastAsia="zh-CN" w:bidi="ar"/>
    </w:rPr>
  </w:style>
  <w:style w:type="paragraph" w:styleId="3">
    <w:name w:val="Normal (Web)"/>
    <w:basedOn w:val="1"/>
    <w:uiPriority w:val="0"/>
    <w:pPr>
      <w:spacing w:before="0" w:beforeAutospacing="0" w:after="150" w:afterAutospacing="0" w:line="315" w:lineRule="atLeast"/>
      <w:ind w:left="0" w:right="0"/>
      <w:jc w:val="left"/>
    </w:pPr>
    <w:rPr>
      <w:kern w:val="0"/>
      <w:sz w:val="21"/>
      <w:szCs w:val="21"/>
      <w:lang w:val="en-US" w:eastAsia="zh-CN" w:bidi="ar"/>
    </w:rPr>
  </w:style>
  <w:style w:type="character" w:styleId="6">
    <w:name w:val="Strong"/>
    <w:basedOn w:val="5"/>
    <w:qFormat/>
    <w:uiPriority w:val="0"/>
    <w:rPr>
      <w:b/>
    </w:rPr>
  </w:style>
  <w:style w:type="character" w:styleId="7">
    <w:name w:val="FollowedHyperlink"/>
    <w:basedOn w:val="5"/>
    <w:uiPriority w:val="0"/>
    <w:rPr>
      <w:color w:val="666666"/>
      <w:u w:val="none"/>
    </w:rPr>
  </w:style>
  <w:style w:type="character" w:styleId="8">
    <w:name w:val="HTML Definition"/>
    <w:basedOn w:val="5"/>
    <w:uiPriority w:val="0"/>
    <w:rPr>
      <w:i/>
    </w:rPr>
  </w:style>
  <w:style w:type="character" w:styleId="9">
    <w:name w:val="Hyperlink"/>
    <w:basedOn w:val="5"/>
    <w:uiPriority w:val="0"/>
    <w:rPr>
      <w:color w:val="666666"/>
      <w:u w:val="none"/>
    </w:rPr>
  </w:style>
  <w:style w:type="character" w:styleId="10">
    <w:name w:val="HTML Code"/>
    <w:basedOn w:val="5"/>
    <w:uiPriority w:val="0"/>
    <w:rPr>
      <w:rFonts w:hint="default" w:ascii="Consolas" w:hAnsi="Consolas" w:eastAsia="Consolas" w:cs="Consolas"/>
      <w:color w:val="C7254E"/>
      <w:sz w:val="21"/>
      <w:szCs w:val="21"/>
      <w:bdr w:val="none" w:color="auto" w:sz="0" w:space="0"/>
      <w:shd w:val="clear" w:fill="F9F2F4"/>
    </w:rPr>
  </w:style>
  <w:style w:type="character" w:styleId="11">
    <w:name w:val="HTML Keyboard"/>
    <w:basedOn w:val="5"/>
    <w:uiPriority w:val="0"/>
    <w:rPr>
      <w:rFonts w:hint="default" w:ascii="Consolas" w:hAnsi="Consolas" w:eastAsia="Consolas" w:cs="Consolas"/>
      <w:color w:val="FFFFFF"/>
      <w:sz w:val="21"/>
      <w:szCs w:val="21"/>
      <w:bdr w:val="none" w:color="auto" w:sz="0" w:space="0"/>
      <w:shd w:val="clear" w:fill="333333"/>
    </w:rPr>
  </w:style>
  <w:style w:type="character" w:styleId="12">
    <w:name w:val="HTML Sample"/>
    <w:basedOn w:val="5"/>
    <w:uiPriority w:val="0"/>
    <w:rPr>
      <w:rFonts w:hint="default" w:ascii="Consolas" w:hAnsi="Consolas" w:eastAsia="Consolas" w:cs="Consolas"/>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2019-10-31T06:27:00Z</dcterms:created>
  <dc:creator>Administrator</dc:creator>
  <cp:lastModifiedBy>Administrator</cp:lastModifiedBy>
  <dcterms:modified xsi:type="dcterms:W3CDTF">2019-10-31T06:27:30Z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